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000000" w:rsidRPr="00000000" w:rsidP="00000000" w14:paraId="00000001">
      <w:pPr>
        <w:keepNext/>
        <w:keepLines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 w:firstLine="0"/>
        <w:jc w:val="center"/>
        <w:rPr>
          <w:rFonts w:ascii="Roboto" w:eastAsia="Roboto" w:hAnsi="Roboto" w:cs="Roboto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bookmarkStart w:id="0" w:name="_heading=h.tats9xwk3vmb" w:colFirst="0" w:colLast="0"/>
      <w:bookmarkEnd w:id="0"/>
      <w:r w:rsidRPr="00000000">
        <w:rPr>
          <w:b/>
          <w:rtl w:val="0"/>
        </w:rPr>
        <w:t>ALLEGATO 1 - NORMATIVA DI RIFERIMENTO</w:t>
      </w:r>
    </w:p>
    <w:p w:rsidR="00000000" w:rsidRPr="00000000" w:rsidP="00000000" w14:paraId="00000002"/>
    <w:p w:rsidR="00000000" w:rsidRPr="00000000" w:rsidP="00000000" w14:paraId="00000003"/>
    <w:p w:rsidR="00000000" w:rsidRPr="00000000" w:rsidP="00000000" w14:paraId="00000004">
      <w:r w:rsidRPr="00000000">
        <w:rPr>
          <w:rtl w:val="0"/>
        </w:rPr>
        <w:t>I principali riferimenti normativi/regolamentari cui il presente documento si ispira e si conforma sono i seguenti (indicati, senza pretesa di esaustività, in ordine cronologico):</w:t>
      </w:r>
    </w:p>
    <w:p w:rsidR="00000000" w:rsidRPr="00000000" w:rsidP="00000000" w14:paraId="00000005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Titolo II, Capo I (“</w:t>
      </w:r>
      <w:r w:rsidRPr="00000000">
        <w:rPr>
          <w:i/>
          <w:rtl w:val="0"/>
        </w:rPr>
        <w:t>Dei delitti contro la pubblica amministrazione – Dei delitti dei pubblici ufficiali contro la pubblica amministrazione</w:t>
      </w:r>
      <w:r w:rsidRPr="00000000">
        <w:rPr>
          <w:rtl w:val="0"/>
        </w:rPr>
        <w:t>”) del Codice Penale;</w:t>
      </w:r>
    </w:p>
    <w:p w:rsidR="00000000" w:rsidRPr="00000000" w:rsidP="00000000" w14:paraId="00000006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Legge 7 agosto 1990, n. 241, “</w:t>
      </w:r>
      <w:r w:rsidRPr="00000000">
        <w:rPr>
          <w:i/>
          <w:rtl w:val="0"/>
        </w:rPr>
        <w:t>Nuove norme in materia di procedimenti amministrativi e di diritto di accesso ai documenti amministrativi</w:t>
      </w:r>
      <w:r w:rsidRPr="00000000">
        <w:rPr>
          <w:rtl w:val="0"/>
        </w:rPr>
        <w:t>”;</w:t>
      </w:r>
    </w:p>
    <w:p w:rsidR="00000000" w:rsidRPr="00000000" w:rsidP="00000000" w14:paraId="00000007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30 marzo 2001, n. 165, “</w:t>
      </w:r>
      <w:r w:rsidRPr="00000000">
        <w:rPr>
          <w:i/>
          <w:rtl w:val="0"/>
        </w:rPr>
        <w:t>Norme generali sull’ordinamento del lavoro alle dipendenze delle amministrazioni pubbliche</w:t>
      </w:r>
      <w:r w:rsidRPr="00000000">
        <w:rPr>
          <w:rtl w:val="0"/>
        </w:rPr>
        <w:t>”;</w:t>
      </w:r>
    </w:p>
    <w:p w:rsidR="00000000" w:rsidRPr="00000000" w:rsidP="00000000" w14:paraId="00000008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Legge 20 luglio 2004, n. 215, “</w:t>
      </w:r>
      <w:r w:rsidRPr="00000000">
        <w:rPr>
          <w:i/>
          <w:rtl w:val="0"/>
        </w:rPr>
        <w:t>Norme in materia di risoluzione dei conflitti di interessi</w:t>
      </w:r>
      <w:r w:rsidRPr="00000000">
        <w:rPr>
          <w:rtl w:val="0"/>
        </w:rPr>
        <w:t>”;</w:t>
      </w:r>
    </w:p>
    <w:p w:rsidR="00000000" w:rsidRPr="00000000" w:rsidP="00000000" w14:paraId="00000009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27 ottobre 2009, n. 150, "</w:t>
      </w:r>
      <w:r w:rsidRPr="00000000">
        <w:rPr>
          <w:i/>
          <w:rtl w:val="0"/>
        </w:rPr>
        <w:t>Attuazione della legge 4 marzo 2009, n. 15, in materia di ottimizzazione della produttività del lavoro pubblico e di efficienza e trasparenza delle pubbliche amministrazioni</w:t>
      </w:r>
      <w:r w:rsidRPr="00000000">
        <w:rPr>
          <w:rtl w:val="0"/>
        </w:rPr>
        <w:t>”;</w:t>
      </w:r>
    </w:p>
    <w:p w:rsidR="00000000" w:rsidRPr="00000000" w:rsidP="00000000" w14:paraId="0000000A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Legge 18 ottobre 2012, n. 179, "</w:t>
      </w:r>
      <w:r w:rsidRPr="00000000">
        <w:rPr>
          <w:i/>
          <w:rtl w:val="0"/>
        </w:rPr>
        <w:t>Ulteriori misure urgenti per la crescita del Paese", convertito con modificazioni dalla legge n. 221 del 17 dicembre 2012</w:t>
      </w:r>
      <w:r w:rsidRPr="00000000">
        <w:rPr>
          <w:rtl w:val="0"/>
        </w:rPr>
        <w:t>”;</w:t>
      </w:r>
    </w:p>
    <w:p w:rsidR="00000000" w:rsidRPr="00000000" w:rsidP="00000000" w14:paraId="0000000B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Legge 6 novembre 2012, n. 190, “</w:t>
      </w:r>
      <w:r w:rsidRPr="00000000">
        <w:rPr>
          <w:i/>
          <w:rtl w:val="0"/>
        </w:rPr>
        <w:t>Disposizioni per la prevenzione e la repressione della corruzione e dell’illegalità nella pubblica amministrazione</w:t>
      </w:r>
      <w:r w:rsidRPr="00000000">
        <w:rPr>
          <w:rtl w:val="0"/>
        </w:rPr>
        <w:t>”;</w:t>
      </w:r>
    </w:p>
    <w:p w:rsidR="00000000" w:rsidRPr="00000000" w:rsidP="00000000" w14:paraId="0000000C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del Presidente del Consiglio dei Ministri 16 gennaio 2013, “</w:t>
      </w:r>
      <w:r w:rsidRPr="00000000">
        <w:rPr>
          <w:i/>
          <w:rtl w:val="0"/>
        </w:rPr>
        <w:t>Istituzione del Comitato interministeriale per la prevenzione e il contrasto della corruzione e dell’illegalità nella pubblica amministrazione</w:t>
      </w:r>
      <w:r w:rsidRPr="00000000">
        <w:rPr>
          <w:rtl w:val="0"/>
        </w:rPr>
        <w:t>”;</w:t>
      </w:r>
    </w:p>
    <w:p w:rsidR="00000000" w:rsidRPr="00000000" w:rsidP="00000000" w14:paraId="0000000D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Circolare del Dipartimento della Funzione Pubblica n. 1 del 25 gennaio 2013;</w:t>
      </w:r>
    </w:p>
    <w:p w:rsidR="00000000" w:rsidRPr="00000000" w:rsidP="00000000" w14:paraId="0000000E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14 marzo 2013, n. 33, “</w:t>
      </w:r>
      <w:r w:rsidRPr="00000000">
        <w:rPr>
          <w:i/>
          <w:rtl w:val="0"/>
        </w:rPr>
        <w:t>Riordino della disciplina riguardante gli obblighi di pubblicità, trasparenza e diffusione di informazioni da parte delle pubbliche amministrazioni</w:t>
      </w:r>
      <w:r w:rsidRPr="00000000">
        <w:rPr>
          <w:rtl w:val="0"/>
        </w:rPr>
        <w:t>”;</w:t>
      </w:r>
    </w:p>
    <w:p w:rsidR="00000000" w:rsidRPr="00000000" w:rsidP="00000000" w14:paraId="0000000F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8 aprile 2013, n. 39, “</w:t>
      </w:r>
      <w:r w:rsidRPr="00000000">
        <w:rPr>
          <w:i/>
          <w:rtl w:val="0"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Pr="00000000">
        <w:rPr>
          <w:rtl w:val="0"/>
        </w:rPr>
        <w:t>”;</w:t>
      </w:r>
    </w:p>
    <w:p w:rsidR="00000000" w:rsidRPr="00000000" w:rsidP="00000000" w14:paraId="00000010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del Presidente della Repubblica 16 aprile 2013, n. 62, “</w:t>
      </w:r>
      <w:r w:rsidRPr="00000000">
        <w:rPr>
          <w:i/>
          <w:rtl w:val="0"/>
        </w:rPr>
        <w:t>Regolamento recante codice di comportamento dei dipendenti pubblici a norma dell’articolo 54 del decreto legislativo 30 marzo 2001, n. 165</w:t>
      </w:r>
      <w:r w:rsidRPr="00000000">
        <w:rPr>
          <w:rtl w:val="0"/>
        </w:rPr>
        <w:t>”;</w:t>
      </w:r>
    </w:p>
    <w:p w:rsidR="00000000" w:rsidRPr="00000000" w:rsidP="00000000" w14:paraId="00000011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Delibera CIVIT n. 50 del 4 luglio 2013, “</w:t>
      </w:r>
      <w:r w:rsidRPr="00000000">
        <w:rPr>
          <w:i/>
          <w:rtl w:val="0"/>
        </w:rPr>
        <w:t>Linee guida per l’aggiornamento del Programma triennale per la trasparenza e l’integrità 2014-2016</w:t>
      </w:r>
      <w:r w:rsidRPr="00000000">
        <w:rPr>
          <w:rtl w:val="0"/>
        </w:rPr>
        <w:t>”;</w:t>
      </w:r>
    </w:p>
    <w:p w:rsidR="00000000" w:rsidRPr="00000000" w:rsidP="00000000" w14:paraId="00000012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Delibera CIVIT n. 72 del 11 settembre 2013 “</w:t>
      </w:r>
      <w:r w:rsidRPr="00000000">
        <w:rPr>
          <w:i/>
          <w:rtl w:val="0"/>
        </w:rPr>
        <w:t>Approvazione del Piano Nazionale Anticorruzione</w:t>
      </w:r>
      <w:r w:rsidRPr="00000000">
        <w:rPr>
          <w:rtl w:val="0"/>
        </w:rPr>
        <w:t>”;</w:t>
      </w:r>
    </w:p>
    <w:p w:rsidR="00000000" w:rsidRPr="00000000" w:rsidP="00000000" w14:paraId="00000013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Legge 31 agosto 2013, n. 101, "</w:t>
      </w:r>
      <w:r w:rsidRPr="00000000">
        <w:rPr>
          <w:i/>
          <w:rtl w:val="0"/>
        </w:rPr>
        <w:t>Disposizioni urgenti per il perseguimento di obiettivi di razionalizzazione nelle pubbliche amministrazioni</w:t>
      </w:r>
      <w:r w:rsidRPr="00000000">
        <w:rPr>
          <w:rtl w:val="0"/>
        </w:rPr>
        <w:t>", convertito in legge il 30 ottobre 2013, n. 125;</w:t>
      </w:r>
    </w:p>
    <w:p w:rsidR="00000000" w:rsidRPr="00000000" w:rsidP="00000000" w14:paraId="00000014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Delibera CIVIT n. 75 del 24 ottobre 2013 “</w:t>
      </w:r>
      <w:r w:rsidRPr="00000000">
        <w:rPr>
          <w:i/>
          <w:rtl w:val="0"/>
        </w:rPr>
        <w:t>Linee guida in materia di codici di comportamento delle pubbliche amministrazioni (art. 54, comma 5, d.lgs. n. 165/2001)</w:t>
      </w:r>
      <w:r w:rsidRPr="00000000">
        <w:rPr>
          <w:rtl w:val="0"/>
        </w:rPr>
        <w:t>”;</w:t>
      </w:r>
    </w:p>
    <w:p w:rsidR="00000000" w:rsidRPr="00000000" w:rsidP="00000000" w14:paraId="00000015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6 del 28 aprile 2015 “</w:t>
      </w:r>
      <w:r w:rsidRPr="00000000">
        <w:rPr>
          <w:i/>
          <w:rtl w:val="0"/>
        </w:rPr>
        <w:t xml:space="preserve">Linee guida in materia di tutela del dipendente pubblico che segnala illeciti (c.d. </w:t>
      </w:r>
      <w:r w:rsidRPr="00000000">
        <w:rPr>
          <w:rtl w:val="0"/>
        </w:rPr>
        <w:t>whistleblower</w:t>
      </w:r>
      <w:r w:rsidRPr="00000000">
        <w:rPr>
          <w:i/>
          <w:rtl w:val="0"/>
        </w:rPr>
        <w:t>)</w:t>
      </w:r>
      <w:r w:rsidRPr="00000000">
        <w:rPr>
          <w:rtl w:val="0"/>
        </w:rPr>
        <w:t>”;</w:t>
      </w:r>
    </w:p>
    <w:p w:rsidR="00000000" w:rsidRPr="00000000" w:rsidP="00000000" w14:paraId="00000016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8 del 17 giugno 2015 “</w:t>
      </w:r>
      <w:r w:rsidRPr="00000000">
        <w:rPr>
          <w:i/>
          <w:rtl w:val="0"/>
        </w:rPr>
        <w:t>Linee guida per l’attuazione della normativa in materia di prevenzione della corruzione e trasparenza da parte delle società e degli enti di diritto privato controllati e partecipati dalle pubbliche amministrazioni e degli enti pubblici economici</w:t>
      </w:r>
      <w:r w:rsidRPr="00000000">
        <w:rPr>
          <w:rtl w:val="0"/>
        </w:rPr>
        <w:t>”;</w:t>
      </w:r>
    </w:p>
    <w:p w:rsidR="00000000" w:rsidRPr="00000000" w:rsidP="00000000" w14:paraId="00000017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12 del 28 ottobre 2015 “</w:t>
      </w:r>
      <w:r w:rsidRPr="00000000">
        <w:rPr>
          <w:i/>
          <w:rtl w:val="0"/>
        </w:rPr>
        <w:t>Aggiornamento 2015 al Piano Nazionale Anticorruzione</w:t>
      </w:r>
      <w:r w:rsidRPr="00000000">
        <w:rPr>
          <w:rtl w:val="0"/>
        </w:rPr>
        <w:t>”;</w:t>
      </w:r>
    </w:p>
    <w:p w:rsidR="00000000" w:rsidRPr="00000000" w:rsidP="00000000" w14:paraId="00000018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18 aprile 2016, n. 50 “</w:t>
      </w:r>
      <w:r w:rsidRPr="00000000">
        <w:rPr>
          <w:i/>
          <w:rtl w:val="0"/>
        </w:rPr>
        <w:t>Attuazione delle direttive 2014/23/UE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 servizi e forniture</w:t>
      </w:r>
      <w:r w:rsidRPr="00000000">
        <w:rPr>
          <w:rtl w:val="0"/>
        </w:rPr>
        <w:t>”;</w:t>
      </w:r>
    </w:p>
    <w:p w:rsidR="00000000" w:rsidRPr="00000000" w:rsidP="00000000" w14:paraId="00000019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25 maggio 2016, n. 97 “</w:t>
      </w:r>
      <w:r w:rsidRPr="00000000">
        <w:rPr>
          <w:i/>
          <w:rtl w:val="0"/>
        </w:rPr>
        <w:t>Revisione e semplificazione delle disposizioni in materia di prevenzione della corruzione, pubblicità e trasparenza, correttivo della legge 6 novembre 2012, n. 190 e del decreto legislativo 14 marzo 2013, n. 33, ai sensi dell’articolo 7 della legge 7 agosto 2015, n. 124, in materia di riorganizzazione delle amministrazioni pubbliche</w:t>
      </w:r>
      <w:r w:rsidRPr="00000000">
        <w:rPr>
          <w:rtl w:val="0"/>
        </w:rPr>
        <w:t>”;</w:t>
      </w:r>
    </w:p>
    <w:p w:rsidR="00000000" w:rsidRPr="00000000" w:rsidP="00000000" w14:paraId="0000001A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831 del 3 agosto 2016 “</w:t>
      </w:r>
      <w:r w:rsidRPr="00000000">
        <w:rPr>
          <w:i/>
          <w:rtl w:val="0"/>
        </w:rPr>
        <w:t>Piano Nazionale Anticorruzione 2016</w:t>
      </w:r>
      <w:r w:rsidRPr="00000000">
        <w:rPr>
          <w:rtl w:val="0"/>
        </w:rPr>
        <w:t>”;</w:t>
      </w:r>
    </w:p>
    <w:p w:rsidR="00000000" w:rsidRPr="00000000" w:rsidP="00000000" w14:paraId="0000001B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19 agosto 2016, n. 175 “</w:t>
      </w:r>
      <w:r w:rsidRPr="00000000">
        <w:rPr>
          <w:i/>
          <w:rtl w:val="0"/>
        </w:rPr>
        <w:t>Testo Unico in materia di società a partecipazione pubblica, decreto attuativo della legge delega di riforma della pubblica amministrazione n. 124/2015</w:t>
      </w:r>
      <w:r w:rsidRPr="00000000">
        <w:rPr>
          <w:rtl w:val="0"/>
        </w:rPr>
        <w:t>”;</w:t>
      </w:r>
    </w:p>
    <w:p w:rsidR="00000000" w:rsidRPr="00000000" w:rsidP="00000000" w14:paraId="0000001C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1309 del 28 dicembre 2016 “</w:t>
      </w:r>
      <w:r w:rsidRPr="00000000">
        <w:rPr>
          <w:i/>
          <w:rtl w:val="0"/>
        </w:rPr>
        <w:t>Linee guida recanti indicazioni operative ai fini della definizione delle esclusioni e dei limiti all’accesso civico di cui all’art. 5 co. 2 del D. Lgs. 33/2013</w:t>
      </w:r>
      <w:r w:rsidRPr="00000000">
        <w:rPr>
          <w:rtl w:val="0"/>
        </w:rPr>
        <w:t>”;</w:t>
      </w:r>
    </w:p>
    <w:p w:rsidR="00000000" w:rsidRPr="00000000" w:rsidP="00000000" w14:paraId="0000001D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Decreto Legislativo 19 aprile 2017, n. 56 “</w:t>
      </w:r>
      <w:r w:rsidRPr="00000000">
        <w:rPr>
          <w:i/>
          <w:rtl w:val="0"/>
        </w:rPr>
        <w:t>Disposizioni integrative e correttive al decreto legislativo 18 aprile 2016, n. 50</w:t>
      </w:r>
      <w:r w:rsidRPr="00000000">
        <w:rPr>
          <w:rtl w:val="0"/>
        </w:rPr>
        <w:t>”;</w:t>
      </w:r>
    </w:p>
    <w:p w:rsidR="00000000" w:rsidRPr="00000000" w:rsidP="00000000" w14:paraId="0000001E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Legge 30 novembre 2017, n. 179 “</w:t>
      </w:r>
      <w:r w:rsidRPr="00000000">
        <w:rPr>
          <w:i/>
          <w:rtl w:val="0"/>
        </w:rPr>
        <w:t>Disposizioni per la tutela degli autori di segnalazioni di reati o irregolarità di cui siano venuti a conoscenza nell’ambito di un rapporto di lavoro pubblico o privato</w:t>
      </w:r>
      <w:r w:rsidRPr="00000000">
        <w:rPr>
          <w:rtl w:val="0"/>
        </w:rPr>
        <w:t>”;</w:t>
      </w:r>
    </w:p>
    <w:p w:rsidR="00000000" w:rsidRPr="00000000" w:rsidP="00000000" w14:paraId="0000001F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1134 del 8 novembre 2017 “</w:t>
      </w:r>
      <w:r w:rsidRPr="00000000">
        <w:rPr>
          <w:i/>
          <w:rtl w:val="0"/>
        </w:rPr>
        <w:t>Nuove linee guida per l’attuazione della normativa in materia di prevenzione della corruzione e trasparenza da parte delle società e degli enti di diritto privato controllati e partecipati dalle pubbliche amministrazioni e degli enti pubblici economici</w:t>
      </w:r>
      <w:r w:rsidRPr="00000000">
        <w:rPr>
          <w:rtl w:val="0"/>
        </w:rPr>
        <w:t>”;</w:t>
      </w:r>
    </w:p>
    <w:p w:rsidR="00000000" w:rsidRPr="00000000" w:rsidP="00000000" w14:paraId="00000020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1208 del 22 novembre 2017 “</w:t>
      </w:r>
      <w:r w:rsidRPr="00000000">
        <w:rPr>
          <w:i/>
          <w:rtl w:val="0"/>
        </w:rPr>
        <w:t>Approvazione definitiva Aggiornamento 2017 al Piano Nazionale Anticorruzione</w:t>
      </w:r>
      <w:r w:rsidRPr="00000000">
        <w:rPr>
          <w:rtl w:val="0"/>
        </w:rPr>
        <w:t>”;</w:t>
      </w:r>
    </w:p>
    <w:p w:rsidR="00000000" w:rsidRPr="00000000" w:rsidP="00000000" w14:paraId="00000021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Determinazione ANAC n. 1074 del 21 novembre 2018 “</w:t>
      </w:r>
      <w:r w:rsidRPr="00000000">
        <w:rPr>
          <w:i/>
          <w:rtl w:val="0"/>
        </w:rPr>
        <w:t>Approvazione definitiva dell’Aggiornamento al 2018 al Piano Nazionale Anticorruzione</w:t>
      </w:r>
      <w:r w:rsidRPr="00000000">
        <w:rPr>
          <w:rtl w:val="0"/>
        </w:rPr>
        <w:t>”;</w:t>
      </w:r>
    </w:p>
    <w:p w:rsidR="00000000" w:rsidRPr="00000000" w:rsidP="00000000" w14:paraId="00000022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Delibera ANAC n. 1064 del 13 novembre 2019 “</w:t>
      </w:r>
      <w:r w:rsidRPr="00000000">
        <w:rPr>
          <w:i/>
          <w:rtl w:val="0"/>
        </w:rPr>
        <w:t>Piano Nazionale Anticorruzione 2019</w:t>
      </w:r>
      <w:r w:rsidRPr="00000000">
        <w:rPr>
          <w:rtl w:val="0"/>
        </w:rPr>
        <w:t>”;</w:t>
      </w:r>
    </w:p>
    <w:p w:rsidR="00000000" w:rsidRPr="00000000" w:rsidP="00000000" w14:paraId="00000023">
      <w:pPr>
        <w:numPr>
          <w:ilvl w:val="0"/>
          <w:numId w:val="1"/>
        </w:numPr>
        <w:spacing w:after="0"/>
        <w:ind w:left="720" w:hanging="360"/>
        <w:rPr>
          <w:u w:val="none"/>
        </w:rPr>
      </w:pPr>
      <w:r w:rsidRPr="00000000">
        <w:rPr>
          <w:rtl w:val="0"/>
        </w:rPr>
        <w:t>Delibera ANAC n. 469 del 9 giugno 2021 “</w:t>
      </w:r>
      <w:r w:rsidRPr="00000000">
        <w:rPr>
          <w:i/>
          <w:rtl w:val="0"/>
        </w:rPr>
        <w:t xml:space="preserve">Linee guida in materia di tutela degli autori di segnalazioni di reati o irregolarità di cui siano venuti a conoscenza in ragione di un rapporto di lavoro, ai sensi dell’art. 54-bis, del d.lgs. 165/2001 (c.d. </w:t>
      </w:r>
      <w:r w:rsidRPr="00000000">
        <w:rPr>
          <w:rtl w:val="0"/>
        </w:rPr>
        <w:t>whistleblowing</w:t>
      </w:r>
      <w:r w:rsidRPr="00000000">
        <w:rPr>
          <w:i/>
          <w:rtl w:val="0"/>
        </w:rPr>
        <w:t>)</w:t>
      </w:r>
      <w:r w:rsidRPr="00000000">
        <w:rPr>
          <w:rtl w:val="0"/>
        </w:rPr>
        <w:t>“;</w:t>
      </w:r>
    </w:p>
    <w:p w:rsidR="00000000" w:rsidRPr="00000000" w:rsidP="00000000" w14:paraId="00000024">
      <w:pPr>
        <w:numPr>
          <w:ilvl w:val="0"/>
          <w:numId w:val="1"/>
        </w:numPr>
        <w:spacing w:after="0"/>
        <w:ind w:left="720" w:hanging="360"/>
      </w:pPr>
      <w:r w:rsidRPr="00000000">
        <w:rPr>
          <w:rtl w:val="0"/>
        </w:rPr>
        <w:t>Delibera ANAC del 2 febbraio 2022 “</w:t>
      </w:r>
      <w:r w:rsidRPr="00000000">
        <w:rPr>
          <w:i/>
          <w:rtl w:val="0"/>
        </w:rPr>
        <w:t>Orientamenti per la pianificazione Anticorruzione e Trasparenza 2022</w:t>
      </w:r>
      <w:r w:rsidRPr="00000000">
        <w:rPr>
          <w:rtl w:val="0"/>
        </w:rPr>
        <w:t>”.</w:t>
      </w:r>
    </w:p>
    <w:p w:rsidR="00000000" w:rsidRPr="00000000" w:rsidP="00000000" w14:paraId="00000025">
      <w:pPr>
        <w:numPr>
          <w:ilvl w:val="0"/>
          <w:numId w:val="1"/>
        </w:numPr>
        <w:spacing w:after="0"/>
        <w:ind w:left="720" w:hanging="360"/>
      </w:pPr>
      <w:r w:rsidRPr="00000000">
        <w:rPr>
          <w:rtl w:val="0"/>
        </w:rPr>
        <w:t>Delibera n. 7 del 17 gennaio 2023 “</w:t>
      </w:r>
      <w:r w:rsidRPr="00000000">
        <w:rPr>
          <w:i/>
          <w:rtl w:val="0"/>
        </w:rPr>
        <w:t>Piano Nazionale Anticorruzione 2022</w:t>
      </w:r>
      <w:r w:rsidRPr="00000000">
        <w:rPr>
          <w:rtl w:val="0"/>
        </w:rPr>
        <w:t>”</w:t>
      </w:r>
    </w:p>
    <w:sectPr>
      <w:headerReference w:type="default" r:id="rId5"/>
      <w:footerReference w:type="default" r:id="rId6"/>
      <w:headerReference w:type="first" r:id="rId7"/>
      <w:footerReference w:type="first" r:id="rId8"/>
      <w:pgSz w:w="11909" w:h="16834" w:orient="portrait"/>
      <w:pgMar w:top="1440" w:right="1440" w:bottom="1440" w:left="1440" w:header="720" w:footer="72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default"/>
  </w:font>
  <w:font w:name="Roboto Medium">
    <w:charset w:val="00"/>
    <w:family w:val="auto"/>
    <w:pitch w:val="default"/>
  </w:font>
  <w:font w:name="Roboto Light">
    <w:charset w:val="00"/>
    <w:family w:val="auto"/>
    <w:pitch w:val="default"/>
  </w:font>
  <w:font w:name="Source Sans Pr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tabs>
        <w:tab w:val="left" w:pos="5661"/>
      </w:tabs>
      <w:spacing w:after="0" w:line="276" w:lineRule="auto"/>
      <w:rPr>
        <w:rFonts w:ascii="Roboto Light" w:eastAsia="Roboto Light" w:hAnsi="Roboto Light" w:cs="Roboto Light"/>
        <w:sz w:val="16"/>
        <w:szCs w:val="16"/>
      </w:rPr>
    </w:pPr>
  </w:p>
  <w:p w:rsidR="00000000" w:rsidRPr="00000000" w:rsidP="00000000" w14:paraId="0000002C">
    <w:pPr>
      <w:tabs>
        <w:tab w:val="left" w:pos="5661"/>
      </w:tabs>
      <w:spacing w:after="0" w:line="276" w:lineRule="auto"/>
      <w:rPr>
        <w:rFonts w:ascii="Roboto Light" w:eastAsia="Roboto Light" w:hAnsi="Roboto Light" w:cs="Roboto Light"/>
        <w:sz w:val="16"/>
        <w:szCs w:val="16"/>
      </w:rPr>
    </w:pPr>
    <w:r>
      <w:pict>
        <v:rect id="_x0000_i2049" style="width:0;height:1.5pt" o:hralign="center" o:hrstd="t" o:hr="t" fillcolor="#a0a0a0" stroked="f"/>
      </w:pict>
    </w:r>
  </w:p>
  <w:p w:rsidR="00000000" w:rsidRPr="00000000" w:rsidP="00000000" w14:paraId="0000002D">
    <w:pPr>
      <w:tabs>
        <w:tab w:val="right" w:pos="9636"/>
      </w:tabs>
      <w:spacing w:after="0" w:line="276" w:lineRule="auto"/>
      <w:rPr>
        <w:rFonts w:ascii="Roboto Medium" w:eastAsia="Roboto Medium" w:hAnsi="Roboto Medium" w:cs="Roboto Medium"/>
        <w:sz w:val="16"/>
        <w:szCs w:val="16"/>
      </w:rPr>
    </w:pPr>
    <w:r w:rsidRPr="00000000">
      <w:rPr>
        <w:rFonts w:ascii="Roboto Medium" w:eastAsia="Roboto Medium" w:hAnsi="Roboto Medium" w:cs="Roboto Medium"/>
        <w:color w:val="E6002D"/>
        <w:sz w:val="16"/>
        <w:szCs w:val="16"/>
        <w:rtl w:val="0"/>
      </w:rPr>
      <w:t>Fondazione per l’Innovazione Urbana</w:t>
    </w:r>
    <w:r w:rsidRPr="00000000">
      <w:rPr>
        <w:rFonts w:ascii="Roboto Medium" w:eastAsia="Roboto Medium" w:hAnsi="Roboto Medium" w:cs="Roboto Medium"/>
        <w:sz w:val="16"/>
        <w:szCs w:val="16"/>
        <w:rtl w:val="0"/>
      </w:rPr>
      <w:tab/>
    </w:r>
  </w:p>
  <w:p w:rsidR="00000000" w:rsidRPr="00000000" w:rsidP="00000000" w14:paraId="0000002E">
    <w:pPr>
      <w:tabs>
        <w:tab w:val="right" w:pos="9636"/>
      </w:tabs>
      <w:spacing w:after="0" w:line="276" w:lineRule="auto"/>
    </w:pPr>
    <w:r w:rsidRPr="00000000">
      <w:rPr>
        <w:sz w:val="16"/>
        <w:szCs w:val="16"/>
        <w:rtl w:val="0"/>
      </w:rPr>
      <w:t>Piazza Maggiore, 6 – 40124 Bologna  |  C.F. 91228470372  |  P.IVA 02361731207</w:t>
      <w:tab/>
    </w:r>
    <w:r w:rsidRPr="00000000">
      <w:rPr>
        <w:sz w:val="16"/>
        <w:szCs w:val="16"/>
      </w:rPr>
      <w:fldChar w:fldCharType="begin"/>
    </w:r>
    <w:r w:rsidRPr="00000000">
      <w:rPr>
        <w:sz w:val="16"/>
        <w:szCs w:val="16"/>
      </w:rPr>
      <w:instrText>PAGE</w:instrText>
    </w:r>
    <w:r w:rsidRPr="00000000">
      <w:rPr>
        <w:sz w:val="16"/>
        <w:szCs w:val="16"/>
      </w:rPr>
      <w:fldChar w:fldCharType="separate"/>
    </w:r>
    <w:r w:rsidRPr="00000000">
      <w:rPr>
        <w:sz w:val="16"/>
        <w:szCs w:val="16"/>
      </w:rPr>
      <w:fldChar w:fldCharType="end"/>
    </w:r>
    <w:r w:rsidRPr="00000000">
      <w:rPr>
        <w:sz w:val="16"/>
        <w:szCs w:val="16"/>
        <w:rtl w:val="0"/>
      </w:rPr>
      <w:t xml:space="preserve"> di </w:t>
    </w:r>
    <w:r w:rsidRPr="00000000">
      <w:rPr>
        <w:sz w:val="16"/>
        <w:szCs w:val="16"/>
      </w:rPr>
      <w:fldChar w:fldCharType="begin"/>
    </w:r>
    <w:r w:rsidRPr="00000000">
      <w:rPr>
        <w:sz w:val="16"/>
        <w:szCs w:val="16"/>
      </w:rPr>
      <w:instrText>NUMPAGES</w:instrText>
    </w:r>
    <w:r w:rsidRPr="00000000">
      <w:rPr>
        <w:sz w:val="16"/>
        <w:szCs w:val="16"/>
      </w:rPr>
      <w:fldChar w:fldCharType="separate"/>
    </w:r>
    <w:r w:rsidRPr="00000000">
      <w:rPr>
        <w:sz w:val="16"/>
        <w:szCs w:val="16"/>
      </w:rPr>
      <w:fldChar w:fldCharType="end"/>
    </w:r>
    <w:r w:rsidRPr="00000000">
      <w:rPr>
        <w:sz w:val="16"/>
        <w:szCs w:val="16"/>
        <w:rtl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jc w:val="center"/>
      <w:rPr>
        <w:i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tabs>
        <w:tab w:val="center" w:pos="4819"/>
        <w:tab w:val="right" w:pos="9638"/>
      </w:tabs>
      <w:spacing w:line="240" w:lineRule="auto"/>
      <w:ind w:right="360"/>
    </w:pPr>
    <w:r w:rsidRPr="00000000">
      <w:drawing>
        <wp:inline distT="0" distB="0" distL="0" distR="0">
          <wp:extent cx="5687595" cy="604838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xmlns:r="http://schemas.openxmlformats.org/officeDocument/2006/relationships" r:embed="rId1"/>
                  <a:srcRect t="23076" r="11040" b="14278"/>
                  <a:stretch>
                    <a:fillRect/>
                  </a:stretch>
                </pic:blipFill>
                <pic:spPr>
                  <a:xfrm>
                    <a:off x="0" y="0"/>
                    <a:ext cx="5687595" cy="60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9">
    <w:pPr>
      <w:tabs>
        <w:tab w:val="center" w:pos="4819"/>
        <w:tab w:val="right" w:pos="9638"/>
      </w:tabs>
      <w:spacing w:line="240" w:lineRule="aut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tabs>
        <w:tab w:val="center" w:pos="4819"/>
        <w:tab w:val="right" w:pos="9638"/>
      </w:tabs>
      <w:spacing w:line="240" w:lineRule="auto"/>
      <w:ind w:right="360"/>
    </w:pPr>
    <w:bookmarkStart w:id="1" w:name="_heading=h.3l18frh" w:colFirst="0" w:colLast="0"/>
    <w:bookmarkEnd w:id="1"/>
    <w:r w:rsidRPr="00000000">
      <w:drawing>
        <wp:inline distT="0" distB="0" distL="0" distR="0">
          <wp:extent cx="5687595" cy="604838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/>
                </pic:nvPicPr>
                <pic:blipFill>
                  <a:blip xmlns:r="http://schemas.openxmlformats.org/officeDocument/2006/relationships" r:embed="rId1"/>
                  <a:srcRect t="23076" r="11040" b="14278"/>
                  <a:stretch>
                    <a:fillRect/>
                  </a:stretch>
                </pic:blipFill>
                <pic:spPr>
                  <a:xfrm>
                    <a:off x="0" y="0"/>
                    <a:ext cx="5687595" cy="60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7">
    <w:pPr>
      <w:tabs>
        <w:tab w:val="center" w:pos="4819"/>
        <w:tab w:val="right" w:pos="9638"/>
      </w:tabs>
      <w:spacing w:line="240" w:lineRule="auto"/>
      <w:ind w:right="360"/>
    </w:pPr>
    <w:bookmarkStart w:id="2" w:name="_heading=h.206ipza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EBF8C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keepLines/>
      <w:jc w:val="center"/>
      <w:outlineLvl w:val="0"/>
    </w:pPr>
    <w:rPr>
      <w:b/>
      <w:smallCaps/>
      <w:sz w:val="24"/>
      <w:szCs w:val="24"/>
    </w:rPr>
  </w:style>
  <w:style w:type="paragraph" w:styleId="Heading2">
    <w:name w:val="heading 2"/>
    <w:basedOn w:val="normal3"/>
    <w:next w:val="normal3"/>
    <w:pPr>
      <w:keepNext/>
      <w:keepLines/>
      <w:outlineLvl w:val="1"/>
    </w:pPr>
    <w:rPr>
      <w:b/>
    </w:rPr>
  </w:style>
  <w:style w:type="paragraph" w:styleId="Heading3">
    <w:name w:val="heading 3"/>
    <w:basedOn w:val="normal3"/>
    <w:next w:val="normal3"/>
    <w:pPr>
      <w:keepNext/>
      <w:keepLines/>
      <w:outlineLvl w:val="2"/>
    </w:pPr>
    <w:rPr>
      <w:b/>
    </w:rPr>
  </w:style>
  <w:style w:type="paragraph" w:styleId="Heading4">
    <w:name w:val="heading 4"/>
    <w:basedOn w:val="normal3"/>
    <w:next w:val="normal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3"/>
    <w:next w:val="normal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3"/>
    <w:next w:val="normal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pPr>
      <w:keepNext/>
      <w:keepLines/>
      <w:jc w:val="center"/>
    </w:pPr>
    <w:rPr>
      <w:b/>
      <w:smallCaps/>
    </w:rPr>
  </w:style>
  <w:style w:type="paragraph" w:customStyle="1" w:styleId="normal3">
    <w:name w:val="normal_3"/>
  </w:style>
  <w:style w:type="paragraph" w:customStyle="1" w:styleId="Normal0">
    <w:name w:val="Normal_0"/>
    <w:qFormat/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0"/>
      <w:jc w:val="center"/>
    </w:pPr>
    <w:rPr>
      <w:b/>
    </w:rPr>
  </w:style>
  <w:style w:type="paragraph" w:styleId="CommentText">
    <w:name w:val="annotation text"/>
    <w:basedOn w:val="Normal0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0"/>
    <w:link w:val="TestofumettoCarattere"/>
    <w:uiPriority w:val="99"/>
    <w:semiHidden/>
    <w:unhideWhenUsed/>
    <w:rsid w:val="00EB7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EB78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EB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+ww0HzZNsly2Wdt1uGxl2a+HGg==">AMUW2mUbt51yov1Hatvoj9iXSeMJER5ewyVYC2WXwZwt6DO+TIl5zfon0Az+h/AJVEnWXMVQa1YY9t2vmH78xl8ebdRY62McBRcik0bYn8oIrIKp8ONzi+sve7cFqOaeXSPjm6ayJC5Tc023hR6fDR0L2uIPpKJTsP99q6hgG7xa7+kfSe6sJko=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2020-10-07T09:36:00Z</dcterms:created>
</cp:coreProperties>
</file>